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F" w:rsidRDefault="0000360F" w:rsidP="00450D08">
      <w:pPr>
        <w:spacing w:after="0"/>
        <w:jc w:val="center"/>
        <w:rPr>
          <w:rFonts w:ascii="Cambria" w:hAnsi="Cambria" w:cs="Cambria"/>
          <w:b/>
          <w:bCs/>
          <w:color w:val="76923C"/>
          <w:sz w:val="28"/>
          <w:szCs w:val="28"/>
        </w:rPr>
      </w:pPr>
    </w:p>
    <w:p w:rsidR="0000360F" w:rsidRPr="00FE6603" w:rsidRDefault="0000360F" w:rsidP="00450D08">
      <w:pPr>
        <w:spacing w:after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E6603">
        <w:rPr>
          <w:rFonts w:ascii="Cambria" w:hAnsi="Cambria" w:cs="Cambria"/>
          <w:b/>
          <w:bCs/>
          <w:color w:val="000000"/>
          <w:sz w:val="28"/>
          <w:szCs w:val="28"/>
        </w:rPr>
        <w:t>ДОГОВОР</w:t>
      </w:r>
    </w:p>
    <w:p w:rsidR="0000360F" w:rsidRPr="00FE6603" w:rsidRDefault="0000360F" w:rsidP="00450D08">
      <w:pPr>
        <w:spacing w:after="0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E6603">
        <w:rPr>
          <w:rFonts w:ascii="Cambria" w:hAnsi="Cambria" w:cs="Cambria"/>
          <w:b/>
          <w:bCs/>
          <w:color w:val="000000"/>
          <w:sz w:val="20"/>
          <w:szCs w:val="20"/>
        </w:rPr>
        <w:t>ОТВЕТСТВЕННОГО ХРАНЕНИЯ №________</w:t>
      </w:r>
    </w:p>
    <w:p w:rsidR="0000360F" w:rsidRPr="009F3419" w:rsidRDefault="0000360F" w:rsidP="00706E03">
      <w:pPr>
        <w:spacing w:after="0"/>
        <w:rPr>
          <w:rFonts w:ascii="Cambria" w:hAnsi="Cambria" w:cs="Cambria"/>
          <w:b/>
          <w:bCs/>
          <w:color w:val="76923C"/>
          <w:sz w:val="20"/>
          <w:szCs w:val="20"/>
        </w:rPr>
      </w:pPr>
      <w:r>
        <w:rPr>
          <w:rFonts w:ascii="Cambria" w:hAnsi="Cambria" w:cs="Cambria"/>
          <w:b/>
          <w:bCs/>
          <w:color w:val="76923C"/>
          <w:sz w:val="20"/>
          <w:szCs w:val="20"/>
        </w:rPr>
        <w:t xml:space="preserve"> </w:t>
      </w:r>
    </w:p>
    <w:p w:rsidR="0000360F" w:rsidRPr="00232DD7" w:rsidRDefault="0000360F" w:rsidP="00450D08">
      <w:pPr>
        <w:pStyle w:val="Preformatted"/>
        <w:tabs>
          <w:tab w:val="clear" w:pos="9590"/>
        </w:tabs>
        <w:jc w:val="both"/>
        <w:rPr>
          <w:rFonts w:ascii="Cambria" w:hAnsi="Cambria" w:cs="Cambria"/>
          <w:color w:val="262626"/>
        </w:rPr>
      </w:pPr>
      <w:r w:rsidRPr="00232DD7">
        <w:rPr>
          <w:rFonts w:ascii="Cambria" w:hAnsi="Cambria" w:cs="Cambria"/>
          <w:color w:val="262626"/>
        </w:rPr>
        <w:t>г. ______________________</w:t>
      </w:r>
      <w:r w:rsidRPr="00232DD7">
        <w:rPr>
          <w:rFonts w:ascii="Cambria" w:hAnsi="Cambria" w:cs="Cambria"/>
          <w:color w:val="262626"/>
        </w:rPr>
        <w:tab/>
      </w:r>
      <w:r w:rsidRPr="00232DD7">
        <w:rPr>
          <w:rFonts w:ascii="Cambria" w:hAnsi="Cambria" w:cs="Cambria"/>
          <w:color w:val="262626"/>
        </w:rPr>
        <w:tab/>
      </w:r>
      <w:r w:rsidRPr="00232DD7">
        <w:rPr>
          <w:rFonts w:ascii="Cambria" w:hAnsi="Cambria" w:cs="Cambria"/>
          <w:color w:val="262626"/>
        </w:rPr>
        <w:tab/>
        <w:t xml:space="preserve">   </w:t>
      </w:r>
      <w:r w:rsidRPr="00232DD7">
        <w:rPr>
          <w:rFonts w:ascii="Cambria" w:hAnsi="Cambria" w:cs="Cambria"/>
          <w:color w:val="262626"/>
        </w:rPr>
        <w:tab/>
      </w:r>
      <w:r w:rsidRPr="00232DD7">
        <w:rPr>
          <w:rFonts w:ascii="Cambria" w:hAnsi="Cambria" w:cs="Cambria"/>
          <w:color w:val="262626"/>
        </w:rPr>
        <w:tab/>
      </w:r>
      <w:r>
        <w:rPr>
          <w:rFonts w:ascii="Cambria" w:hAnsi="Cambria" w:cs="Cambria"/>
          <w:color w:val="262626"/>
        </w:rPr>
        <w:tab/>
        <w:t>«</w:t>
      </w:r>
      <w:r w:rsidRPr="00232DD7">
        <w:rPr>
          <w:rFonts w:ascii="Cambria" w:hAnsi="Cambria" w:cs="Cambria"/>
          <w:color w:val="262626"/>
        </w:rPr>
        <w:t>___</w:t>
      </w:r>
      <w:r>
        <w:rPr>
          <w:rFonts w:ascii="Cambria" w:hAnsi="Cambria" w:cs="Cambria"/>
          <w:color w:val="262626"/>
        </w:rPr>
        <w:t>»</w:t>
      </w:r>
      <w:r w:rsidRPr="00232DD7">
        <w:rPr>
          <w:rFonts w:ascii="Cambria" w:hAnsi="Cambria" w:cs="Cambria"/>
          <w:color w:val="262626"/>
        </w:rPr>
        <w:t xml:space="preserve">  </w:t>
      </w:r>
      <w:r w:rsidRPr="00232DD7">
        <w:rPr>
          <w:rFonts w:ascii="Cambria" w:hAnsi="Cambria" w:cs="Cambria"/>
          <w:color w:val="262626"/>
          <w:u w:val="single"/>
        </w:rPr>
        <w:t xml:space="preserve">                       </w:t>
      </w:r>
      <w:r w:rsidRPr="00232DD7">
        <w:rPr>
          <w:rFonts w:ascii="Cambria" w:hAnsi="Cambria" w:cs="Cambria"/>
          <w:color w:val="262626"/>
        </w:rPr>
        <w:t xml:space="preserve"> 20</w:t>
      </w:r>
      <w:r w:rsidRPr="00232DD7">
        <w:rPr>
          <w:rFonts w:ascii="Cambria" w:hAnsi="Cambria" w:cs="Cambria"/>
          <w:color w:val="262626"/>
          <w:u w:val="single"/>
        </w:rPr>
        <w:t xml:space="preserve">    </w:t>
      </w:r>
      <w:r w:rsidRPr="00232DD7">
        <w:rPr>
          <w:rFonts w:ascii="Cambria" w:hAnsi="Cambria" w:cs="Cambria"/>
          <w:color w:val="262626"/>
        </w:rPr>
        <w:t>г.</w:t>
      </w:r>
    </w:p>
    <w:p w:rsidR="0000360F" w:rsidRPr="00232DD7" w:rsidRDefault="0000360F" w:rsidP="00450D08">
      <w:pPr>
        <w:pStyle w:val="Preformatted"/>
        <w:tabs>
          <w:tab w:val="clear" w:pos="9590"/>
        </w:tabs>
        <w:jc w:val="both"/>
        <w:rPr>
          <w:rFonts w:ascii="Cambria" w:hAnsi="Cambria" w:cs="Cambria"/>
          <w:i/>
          <w:iCs/>
          <w:color w:val="262626"/>
          <w:sz w:val="16"/>
          <w:szCs w:val="16"/>
        </w:rPr>
      </w:pP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 xml:space="preserve">           (населенный пункт)</w:t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ab/>
        <w:t xml:space="preserve">                 </w:t>
      </w:r>
      <w:r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>
        <w:rPr>
          <w:rFonts w:ascii="Cambria" w:hAnsi="Cambria" w:cs="Cambria"/>
          <w:i/>
          <w:iCs/>
          <w:color w:val="262626"/>
          <w:sz w:val="16"/>
          <w:szCs w:val="16"/>
        </w:rPr>
        <w:tab/>
      </w:r>
      <w:r w:rsidRPr="00232DD7">
        <w:rPr>
          <w:rFonts w:ascii="Cambria" w:hAnsi="Cambria" w:cs="Cambria"/>
          <w:i/>
          <w:iCs/>
          <w:color w:val="262626"/>
          <w:sz w:val="16"/>
          <w:szCs w:val="16"/>
        </w:rPr>
        <w:t xml:space="preserve"> (дата)    </w:t>
      </w:r>
    </w:p>
    <w:p w:rsidR="0000360F" w:rsidRPr="00BA4DA0" w:rsidRDefault="0000360F" w:rsidP="00D31152">
      <w:pPr>
        <w:spacing w:before="120" w:after="120"/>
        <w:rPr>
          <w:rFonts w:ascii="Cambria" w:hAnsi="Cambria" w:cs="Cambria"/>
          <w:color w:val="262626"/>
          <w:sz w:val="20"/>
          <w:szCs w:val="20"/>
        </w:rPr>
      </w:pP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                              </w:t>
      </w:r>
      <w:r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            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</w:t>
      </w:r>
      <w:r>
        <w:rPr>
          <w:rFonts w:ascii="Cambria" w:hAnsi="Cambria" w:cs="Cambria"/>
          <w:color w:val="262626"/>
          <w:sz w:val="20"/>
          <w:szCs w:val="20"/>
          <w:u w:val="single"/>
        </w:rPr>
        <w:t xml:space="preserve"> 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                      </w:t>
      </w:r>
      <w:r w:rsidRPr="00F64844">
        <w:rPr>
          <w:rFonts w:ascii="Cambria" w:hAnsi="Cambria" w:cs="Cambria"/>
          <w:color w:val="262626"/>
          <w:sz w:val="20"/>
          <w:szCs w:val="20"/>
        </w:rPr>
        <w:t xml:space="preserve">, именуемый (ая) в дальнейшем </w:t>
      </w:r>
      <w:r>
        <w:rPr>
          <w:rFonts w:ascii="Cambria" w:hAnsi="Cambria" w:cs="Cambria"/>
          <w:color w:val="262626"/>
          <w:sz w:val="20"/>
          <w:szCs w:val="20"/>
        </w:rPr>
        <w:t xml:space="preserve">Хранитель, в лице _____________________________, действующего на основании _________________________________, </w:t>
      </w:r>
      <w:r w:rsidRPr="00F64844">
        <w:rPr>
          <w:rFonts w:ascii="Cambria" w:hAnsi="Cambria" w:cs="Cambria"/>
          <w:color w:val="262626"/>
          <w:sz w:val="20"/>
          <w:szCs w:val="20"/>
        </w:rPr>
        <w:t xml:space="preserve">с одной стороны,  </w:t>
      </w:r>
    </w:p>
    <w:p w:rsidR="0000360F" w:rsidRPr="00F64844" w:rsidRDefault="0000360F" w:rsidP="00450D08">
      <w:pPr>
        <w:spacing w:after="120"/>
        <w:rPr>
          <w:rFonts w:ascii="Cambria" w:hAnsi="Cambria" w:cs="Cambria"/>
          <w:color w:val="262626"/>
          <w:sz w:val="20"/>
          <w:szCs w:val="20"/>
          <w:u w:val="single"/>
        </w:rPr>
      </w:pPr>
      <w:r w:rsidRPr="00FF272D">
        <w:rPr>
          <w:rFonts w:ascii="Cambria" w:hAnsi="Cambria" w:cs="Cambria"/>
          <w:color w:val="262626"/>
          <w:sz w:val="20"/>
          <w:szCs w:val="20"/>
        </w:rPr>
        <w:t xml:space="preserve">и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                  </w:t>
      </w:r>
      <w:r>
        <w:rPr>
          <w:rFonts w:ascii="Cambria" w:hAnsi="Cambria" w:cs="Cambria"/>
          <w:color w:val="262626"/>
          <w:sz w:val="20"/>
          <w:szCs w:val="20"/>
          <w:u w:val="single"/>
        </w:rPr>
        <w:t xml:space="preserve">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</w:t>
      </w:r>
      <w:r>
        <w:rPr>
          <w:rFonts w:ascii="Cambria" w:hAnsi="Cambria" w:cs="Cambria"/>
          <w:color w:val="262626"/>
          <w:sz w:val="20"/>
          <w:szCs w:val="20"/>
          <w:u w:val="single"/>
        </w:rPr>
        <w:t xml:space="preserve">     ___                   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</w:t>
      </w:r>
      <w:r>
        <w:rPr>
          <w:rFonts w:ascii="Cambria" w:hAnsi="Cambria" w:cs="Cambria"/>
          <w:color w:val="262626"/>
          <w:sz w:val="20"/>
          <w:szCs w:val="20"/>
          <w:u w:val="single"/>
        </w:rPr>
        <w:t xml:space="preserve">  </w:t>
      </w:r>
      <w:r w:rsidRPr="00F64844">
        <w:rPr>
          <w:rFonts w:ascii="Cambria" w:hAnsi="Cambria" w:cs="Cambria"/>
          <w:color w:val="262626"/>
          <w:sz w:val="20"/>
          <w:szCs w:val="20"/>
          <w:u w:val="single"/>
        </w:rPr>
        <w:t xml:space="preserve">                                  </w:t>
      </w:r>
      <w:r w:rsidRPr="00F64844">
        <w:rPr>
          <w:rFonts w:ascii="Cambria" w:hAnsi="Cambria" w:cs="Cambria"/>
          <w:color w:val="262626"/>
          <w:sz w:val="20"/>
          <w:szCs w:val="20"/>
        </w:rPr>
        <w:t xml:space="preserve">, именуемый (ая) в дальнейшем </w:t>
      </w:r>
      <w:r>
        <w:rPr>
          <w:rFonts w:ascii="Cambria" w:hAnsi="Cambria" w:cs="Cambria"/>
          <w:color w:val="262626"/>
          <w:sz w:val="20"/>
          <w:szCs w:val="20"/>
        </w:rPr>
        <w:t>Поклажедатель в лице _______________________________________, действующего на основании ______________________,</w:t>
      </w:r>
      <w:r w:rsidRPr="00F64844">
        <w:rPr>
          <w:rFonts w:ascii="Cambria" w:hAnsi="Cambria" w:cs="Cambria"/>
          <w:color w:val="262626"/>
          <w:sz w:val="20"/>
          <w:szCs w:val="20"/>
        </w:rPr>
        <w:t xml:space="preserve"> с другой стороны, вместе именуемые Стороны, а по отдельности – Сторона, заключили</w:t>
      </w:r>
      <w:r w:rsidRPr="00232DD7">
        <w:rPr>
          <w:rFonts w:ascii="Cambria" w:hAnsi="Cambria" w:cs="Cambria"/>
          <w:color w:val="262626"/>
          <w:sz w:val="20"/>
          <w:szCs w:val="20"/>
        </w:rPr>
        <w:t xml:space="preserve"> настоящий договор (далее – Договор) о нижеследующем: </w:t>
      </w:r>
    </w:p>
    <w:p w:rsidR="0000360F" w:rsidRPr="00A96D48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 w:rsidRPr="00A96D48">
        <w:rPr>
          <w:rFonts w:ascii="Cambria" w:hAnsi="Cambria" w:cs="Cambria"/>
          <w:b/>
          <w:bCs/>
          <w:color w:val="262626"/>
          <w:sz w:val="20"/>
          <w:szCs w:val="20"/>
        </w:rPr>
        <w:t>ПРЕДМЕТ ДОГОВОРА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lang w:eastAsia="en-US"/>
        </w:rPr>
        <w:t xml:space="preserve">В соответствии с условиями Договора </w:t>
      </w:r>
      <w:r w:rsidRPr="00FE4231">
        <w:rPr>
          <w:rFonts w:ascii="Cambria" w:hAnsi="Cambria" w:cs="Cambria"/>
          <w:color w:val="262626"/>
          <w:sz w:val="20"/>
          <w:szCs w:val="20"/>
          <w:lang w:eastAsia="en-US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lang w:eastAsia="en-US"/>
        </w:rPr>
        <w:t xml:space="preserve"> обязуется принять и хранить переданное </w:t>
      </w:r>
      <w:r w:rsidRPr="00FE4231">
        <w:rPr>
          <w:rFonts w:ascii="Cambria" w:hAnsi="Cambria" w:cs="Cambria"/>
          <w:color w:val="262626"/>
          <w:sz w:val="20"/>
          <w:szCs w:val="20"/>
          <w:lang w:eastAsia="en-US"/>
        </w:rPr>
        <w:t>Поклажедателем</w:t>
      </w:r>
      <w:r w:rsidRPr="005A6506">
        <w:rPr>
          <w:rFonts w:ascii="Cambria" w:hAnsi="Cambria" w:cs="Cambria"/>
          <w:color w:val="262626"/>
          <w:sz w:val="20"/>
          <w:szCs w:val="20"/>
          <w:lang w:eastAsia="en-US"/>
        </w:rPr>
        <w:t xml:space="preserve"> имущество (далее по тексту - </w:t>
      </w:r>
      <w:r w:rsidRPr="00FE4231">
        <w:rPr>
          <w:rFonts w:ascii="Cambria" w:hAnsi="Cambria" w:cs="Cambria"/>
          <w:color w:val="262626"/>
          <w:sz w:val="20"/>
          <w:szCs w:val="20"/>
          <w:lang w:eastAsia="en-US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lang w:eastAsia="en-US"/>
        </w:rPr>
        <w:t>) и возвратить его в сохранности</w:t>
      </w:r>
      <w:r w:rsidRPr="00FE4231">
        <w:rPr>
          <w:rFonts w:ascii="Cambria" w:hAnsi="Cambria" w:cs="Cambria"/>
          <w:color w:val="262626"/>
          <w:sz w:val="20"/>
          <w:szCs w:val="20"/>
          <w:lang w:eastAsia="en-US"/>
        </w:rPr>
        <w:t>.</w:t>
      </w:r>
    </w:p>
    <w:p w:rsidR="0000360F" w:rsidRPr="00FE4231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Наименование, количество, качество и стоимость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, передаваемого на хранение, определяется Сторонами в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Приложении №1 (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Перечень передаваемого имущества 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к Договору), являющимся неотъемлемой частью Договора.</w:t>
      </w:r>
    </w:p>
    <w:p w:rsidR="0000360F" w:rsidRDefault="0000360F" w:rsidP="00706E03">
      <w:pPr>
        <w:numPr>
          <w:ilvl w:val="0"/>
          <w:numId w:val="9"/>
        </w:numPr>
        <w:spacing w:before="36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>
        <w:rPr>
          <w:rFonts w:ascii="Cambria" w:hAnsi="Cambria" w:cs="Cambria"/>
          <w:b/>
          <w:bCs/>
          <w:color w:val="262626"/>
          <w:sz w:val="20"/>
          <w:szCs w:val="20"/>
        </w:rPr>
        <w:t>СРОК ДЕЙСТВИЯ ДОГОВОРА</w:t>
      </w:r>
    </w:p>
    <w:p w:rsidR="0000360F" w:rsidRDefault="0000360F" w:rsidP="008F5F20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Договор вступает в силу с 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«__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_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»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                         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 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г. и действует до 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«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__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»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                   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г.</w:t>
      </w:r>
    </w:p>
    <w:p w:rsidR="0000360F" w:rsidRDefault="0000360F" w:rsidP="008F5F20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Срок хранения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определен Сторонами с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«__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_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»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        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 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г.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 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и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до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«__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_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»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            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  </w:t>
      </w:r>
      <w:r>
        <w:rPr>
          <w:rFonts w:ascii="Cambria" w:hAnsi="Cambria" w:cs="Cambria"/>
          <w:color w:val="262626"/>
          <w:sz w:val="20"/>
          <w:szCs w:val="20"/>
          <w:u w:val="single"/>
          <w:bdr w:val="none" w:sz="0" w:space="0" w:color="auto" w:frame="1"/>
        </w:rPr>
        <w:t xml:space="preserve">       </w:t>
      </w:r>
      <w:r w:rsidRPr="008F5F2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г.</w:t>
      </w:r>
    </w:p>
    <w:p w:rsidR="0000360F" w:rsidRPr="00ED5B49" w:rsidRDefault="0000360F" w:rsidP="00706E03">
      <w:pPr>
        <w:numPr>
          <w:ilvl w:val="0"/>
          <w:numId w:val="9"/>
        </w:numPr>
        <w:spacing w:before="360" w:after="60"/>
        <w:ind w:left="357" w:hanging="357"/>
        <w:jc w:val="center"/>
        <w:rPr>
          <w:rFonts w:ascii="Cambria" w:hAnsi="Cambria" w:cs="Cambria"/>
          <w:b/>
          <w:bCs/>
          <w:color w:val="0D0D0D"/>
          <w:sz w:val="20"/>
          <w:szCs w:val="20"/>
        </w:rPr>
      </w:pPr>
      <w:r w:rsidRPr="00A96D48">
        <w:rPr>
          <w:rFonts w:ascii="Cambria" w:hAnsi="Cambria" w:cs="Cambria"/>
          <w:b/>
          <w:bCs/>
          <w:color w:val="262626"/>
          <w:sz w:val="20"/>
          <w:szCs w:val="20"/>
        </w:rPr>
        <w:t xml:space="preserve">ПРАВА И </w:t>
      </w:r>
      <w:r w:rsidRPr="00ED5B49">
        <w:rPr>
          <w:rFonts w:ascii="Cambria" w:hAnsi="Cambria" w:cs="Cambria"/>
          <w:b/>
          <w:bCs/>
          <w:color w:val="0D0D0D"/>
          <w:sz w:val="20"/>
          <w:szCs w:val="20"/>
        </w:rPr>
        <w:t xml:space="preserve">ОБЯЗАННОСТИ </w:t>
      </w:r>
      <w:hyperlink r:id="rId7" w:history="1">
        <w:r w:rsidRPr="00ED5B49">
          <w:rPr>
            <w:rStyle w:val="Hyperlink"/>
            <w:rFonts w:ascii="Cambria" w:hAnsi="Cambria" w:cs="Cambria"/>
            <w:b/>
            <w:bCs/>
            <w:color w:val="0D0D0D"/>
            <w:sz w:val="20"/>
            <w:szCs w:val="20"/>
            <w:u w:val="none"/>
          </w:rPr>
          <w:t>СТОРОН</w:t>
        </w:r>
      </w:hyperlink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обязуется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: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Принять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переданное 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Поклажедателем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на хранение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Хранить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в течение срока, обусловленного Договором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Принять для сохранения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меры, соответствующие обычаям делового оборота и существу обязательства, в том числе свойствам переданного на хранение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, а также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Возвратить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, с учетом естественного ухудшения, естественной убыли или иного изменения вследствие естественных свойств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обязуется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: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Передать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на хранение в срок, установленный Договором</w:t>
      </w:r>
    </w:p>
    <w:p w:rsidR="0000360F" w:rsidRPr="00FE4231" w:rsidRDefault="0000360F" w:rsidP="00DF2F9B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Принять обратно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по истечении срока хранения или срока, предоставленного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Хранителем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для обратного получения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вправе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:</w:t>
      </w:r>
    </w:p>
    <w:p w:rsidR="0000360F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Не принимать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на хранение в случае, когда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не передал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в установленный Договором срок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FE4231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Только с письменного согласия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изменять условия хранения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Default="0000360F" w:rsidP="005A076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Продать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по цене, сложившейся в месте хранения, в случае, если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не исполняет своей обязанности взять обратно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, в том числе при уклонении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от получения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. Сумма, вырученная от продажи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, передается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за вычетом сумм, причитающихся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, в том числе его расходов на продажу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Default="0000360F" w:rsidP="000F5897">
      <w:pPr>
        <w:pStyle w:val="ListParagraph"/>
        <w:spacing w:after="0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</w:p>
    <w:p w:rsidR="0000360F" w:rsidRDefault="0000360F" w:rsidP="000F5897">
      <w:pPr>
        <w:pStyle w:val="ListParagraph"/>
        <w:spacing w:after="0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</w:p>
    <w:p w:rsidR="0000360F" w:rsidRPr="00FE4231" w:rsidRDefault="0000360F" w:rsidP="000F5897">
      <w:pPr>
        <w:pStyle w:val="ListParagraph"/>
        <w:spacing w:after="0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Поклажедатель 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вправе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:</w:t>
      </w:r>
    </w:p>
    <w:p w:rsidR="0000360F" w:rsidRDefault="0000360F" w:rsidP="00A96D4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Отказаться от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и потребовать от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возмещения стоимости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, а также других убытков, в случае, когда в результате повреждения, за которое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отвечает, качество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изменилось настолько, что оно не может быть использовано по первоначальному назначению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;</w:t>
      </w:r>
    </w:p>
    <w:p w:rsidR="0000360F" w:rsidRPr="00FE4231" w:rsidRDefault="0000360F" w:rsidP="00147228">
      <w:pPr>
        <w:pStyle w:val="ListParagraph"/>
        <w:numPr>
          <w:ilvl w:val="2"/>
          <w:numId w:val="9"/>
        </w:numPr>
        <w:spacing w:after="0"/>
        <w:ind w:left="993" w:hanging="709"/>
        <w:textAlignment w:val="baseline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До окончания срока хранения требовать от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Хранителя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 xml:space="preserve"> возврата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eastAsia="ru-RU"/>
        </w:rPr>
        <w:t>Имущества.</w:t>
      </w:r>
    </w:p>
    <w:p w:rsidR="0000360F" w:rsidRDefault="0000360F" w:rsidP="008F5F20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>
        <w:rPr>
          <w:rFonts w:ascii="Cambria" w:hAnsi="Cambria" w:cs="Cambria"/>
          <w:b/>
          <w:bCs/>
          <w:color w:val="262626"/>
          <w:sz w:val="20"/>
          <w:szCs w:val="20"/>
        </w:rPr>
        <w:t xml:space="preserve">ПОРЯДОК ПЕРЕДАЧИ </w:t>
      </w:r>
    </w:p>
    <w:p w:rsidR="0000360F" w:rsidRDefault="0000360F" w:rsidP="00AC4B25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Место передачи Имущества на хранение: __________________________________________________.</w:t>
      </w:r>
    </w:p>
    <w:p w:rsidR="0000360F" w:rsidRDefault="0000360F" w:rsidP="00AC4B25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Передача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</w:t>
      </w:r>
      <w:r w:rsidRPr="00757633">
        <w:rPr>
          <w:rFonts w:ascii="Cambria" w:hAnsi="Cambria" w:cs="Cambria"/>
          <w:color w:val="0D0D0D"/>
          <w:sz w:val="20"/>
          <w:szCs w:val="20"/>
          <w:bdr w:val="none" w:sz="0" w:space="0" w:color="auto" w:frame="1"/>
        </w:rPr>
        <w:t xml:space="preserve">на хранение оформляется двусторонним </w:t>
      </w:r>
      <w:hyperlink r:id="rId8" w:history="1">
        <w:r w:rsidRPr="00757633">
          <w:rPr>
            <w:rStyle w:val="Hyperlink"/>
            <w:rFonts w:ascii="Cambria" w:hAnsi="Cambria" w:cs="Cambria"/>
            <w:color w:val="0D0D0D"/>
            <w:sz w:val="20"/>
            <w:szCs w:val="20"/>
            <w:u w:val="none"/>
            <w:bdr w:val="none" w:sz="0" w:space="0" w:color="auto" w:frame="1"/>
          </w:rPr>
          <w:t>актом приема-передачи имущества на хранение</w:t>
        </w:r>
      </w:hyperlink>
      <w:r w:rsidRPr="00757633">
        <w:rPr>
          <w:rFonts w:ascii="Cambria" w:hAnsi="Cambria" w:cs="Cambria"/>
          <w:color w:val="0D0D0D"/>
          <w:sz w:val="20"/>
          <w:szCs w:val="20"/>
          <w:bdr w:val="none" w:sz="0" w:space="0" w:color="auto" w:frame="1"/>
        </w:rPr>
        <w:t>, п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одписываемым Сторонами.</w:t>
      </w:r>
    </w:p>
    <w:p w:rsidR="0000360F" w:rsidRDefault="0000360F" w:rsidP="00AC4B25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озврат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Хранителем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оформляется </w:t>
      </w:r>
      <w:r w:rsidRPr="00757633">
        <w:rPr>
          <w:rFonts w:ascii="Cambria" w:hAnsi="Cambria" w:cs="Cambria"/>
          <w:color w:val="0D0D0D"/>
          <w:sz w:val="20"/>
          <w:szCs w:val="20"/>
          <w:bdr w:val="none" w:sz="0" w:space="0" w:color="auto" w:frame="1"/>
        </w:rPr>
        <w:t xml:space="preserve">двусторонним </w:t>
      </w:r>
      <w:hyperlink r:id="rId9" w:history="1">
        <w:r w:rsidRPr="00757633">
          <w:rPr>
            <w:rStyle w:val="Hyperlink"/>
            <w:rFonts w:ascii="Cambria" w:hAnsi="Cambria" w:cs="Cambria"/>
            <w:color w:val="0D0D0D"/>
            <w:sz w:val="20"/>
            <w:szCs w:val="20"/>
            <w:u w:val="none"/>
            <w:bdr w:val="none" w:sz="0" w:space="0" w:color="auto" w:frame="1"/>
          </w:rPr>
          <w:t>актом о возврате имущества переданного на хранение</w:t>
        </w:r>
      </w:hyperlink>
      <w:r w:rsidRPr="00757633">
        <w:rPr>
          <w:rFonts w:ascii="Cambria" w:hAnsi="Cambria" w:cs="Cambria"/>
          <w:color w:val="0D0D0D"/>
          <w:sz w:val="20"/>
          <w:szCs w:val="20"/>
          <w:bdr w:val="none" w:sz="0" w:space="0" w:color="auto" w:frame="1"/>
        </w:rPr>
        <w:t>, подписываемого Сторонами ил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 уполномоченными представителями Сторон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:rsidR="0000360F" w:rsidRPr="00FE4231" w:rsidRDefault="0000360F" w:rsidP="00DF2F9B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Риск случайной утраты (повреждения, порчи)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несет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с даты передачи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на хранение и до возврата его </w:t>
      </w:r>
      <w:r w:rsidRPr="00FE4231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Поклажедателю.</w:t>
      </w:r>
    </w:p>
    <w:p w:rsidR="0000360F" w:rsidRPr="00A96D48" w:rsidRDefault="0000360F" w:rsidP="00081C43">
      <w:pPr>
        <w:numPr>
          <w:ilvl w:val="0"/>
          <w:numId w:val="9"/>
        </w:numPr>
        <w:spacing w:before="36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>
        <w:rPr>
          <w:rFonts w:ascii="Cambria" w:hAnsi="Cambria" w:cs="Cambria"/>
          <w:b/>
          <w:bCs/>
          <w:color w:val="262626"/>
          <w:sz w:val="20"/>
          <w:szCs w:val="20"/>
        </w:rPr>
        <w:t>ОТВЕТСТВЕННОСТЬ СТОРОН</w:t>
      </w:r>
    </w:p>
    <w:p w:rsidR="0000360F" w:rsidRPr="006B494C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Pr="006B494C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Неустойка по Договору выплачивается только на основании обоснованного письменного требования Сторон</w:t>
      </w:r>
    </w:p>
    <w:p w:rsidR="0000360F" w:rsidRPr="006B494C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Выплата неустойки (пени, штрафа) не освобождает Стороны от исполнения обязанностей, предусмотренных Договором</w:t>
      </w:r>
    </w:p>
    <w:p w:rsidR="0000360F" w:rsidRPr="00FE4231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Ответственность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Хранителя:</w:t>
      </w:r>
    </w:p>
    <w:p w:rsidR="0000360F" w:rsidRPr="00FE4231" w:rsidRDefault="0000360F" w:rsidP="00FE4231">
      <w:pPr>
        <w:pStyle w:val="NormalWeb"/>
        <w:numPr>
          <w:ilvl w:val="2"/>
          <w:numId w:val="9"/>
        </w:numPr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несет ответственность за утрату, недостачу или повреждение принятого на хранение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после того, как наступила обязанность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взять это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обратно, лишь при наличии со стороны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умысла или грубой неосторожности</w:t>
      </w:r>
    </w:p>
    <w:p w:rsidR="0000360F" w:rsidRPr="00FE4231" w:rsidRDefault="0000360F" w:rsidP="00FE4231">
      <w:pPr>
        <w:pStyle w:val="NormalWeb"/>
        <w:numPr>
          <w:ilvl w:val="2"/>
          <w:numId w:val="9"/>
        </w:numPr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возмещает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убытки, причиненные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утратой, недостачей или повреждением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Имущества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, в полном объеме</w:t>
      </w:r>
    </w:p>
    <w:p w:rsidR="0000360F" w:rsidRPr="00FE4231" w:rsidRDefault="0000360F" w:rsidP="00FE4231">
      <w:pPr>
        <w:pStyle w:val="NormalWeb"/>
        <w:numPr>
          <w:ilvl w:val="2"/>
          <w:numId w:val="9"/>
        </w:numPr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возмещает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убытки, причиненные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отказом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Хранителя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принять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на хранение вопреки условиям Договора в полном объеме.</w:t>
      </w:r>
    </w:p>
    <w:p w:rsidR="0000360F" w:rsidRPr="00FE4231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Ответственность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Поклажедателя:</w:t>
      </w:r>
    </w:p>
    <w:p w:rsidR="0000360F" w:rsidRDefault="0000360F" w:rsidP="00AE2F21">
      <w:pPr>
        <w:pStyle w:val="NormalWeb"/>
        <w:numPr>
          <w:ilvl w:val="2"/>
          <w:numId w:val="9"/>
        </w:numPr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, не передавший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Имущество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на хранение в предусмотренный Договором срок, несет ответственность перед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Хранителем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за убытки, причиненные в связи с несостоявшимся хранением.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Поклажедатель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освобождается от ответственности, если заявит 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Хранителю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об отказе от его услуг в разумный срок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;</w:t>
      </w:r>
    </w:p>
    <w:p w:rsidR="0000360F" w:rsidRPr="00FE4231" w:rsidRDefault="0000360F" w:rsidP="00AE2F21">
      <w:pPr>
        <w:pStyle w:val="NormalWeb"/>
        <w:shd w:val="clear" w:color="auto" w:fill="FFFFFF"/>
        <w:spacing w:before="60" w:beforeAutospacing="0" w:after="60" w:afterAutospacing="0" w:line="270" w:lineRule="atLeast"/>
        <w:ind w:left="360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</w:p>
    <w:p w:rsidR="0000360F" w:rsidRPr="00A96D48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>
        <w:rPr>
          <w:rFonts w:ascii="Cambria" w:hAnsi="Cambria" w:cs="Cambria"/>
          <w:b/>
          <w:bCs/>
          <w:color w:val="262626"/>
          <w:sz w:val="20"/>
          <w:szCs w:val="20"/>
        </w:rPr>
        <w:t>ОСНОВАНИЯ И ПОРЯДОК РАСТОРЖЕНИЯ ДОГОВОРА</w:t>
      </w:r>
    </w:p>
    <w:p w:rsidR="0000360F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Default="0000360F" w:rsidP="00FE4231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Расторжение Договора в одностороннем порядке производится только по письменному требованию Сторон в течение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20 (Двадцати) 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календарных дней со дня получения Стороной такого требования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Default="0000360F" w:rsidP="00AE2F21">
      <w:pPr>
        <w:pStyle w:val="NormalWeb"/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</w:p>
    <w:p w:rsidR="0000360F" w:rsidRPr="00FE4231" w:rsidRDefault="0000360F" w:rsidP="00AE2F21">
      <w:pPr>
        <w:pStyle w:val="NormalWeb"/>
        <w:shd w:val="clear" w:color="auto" w:fill="FFFFFF"/>
        <w:spacing w:before="60" w:beforeAutospacing="0" w:after="60" w:afterAutospacing="0" w:line="270" w:lineRule="atLeast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</w:p>
    <w:p w:rsidR="0000360F" w:rsidRPr="00A96D48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 w:rsidRPr="00A96D48">
        <w:rPr>
          <w:rFonts w:ascii="Cambria" w:hAnsi="Cambria" w:cs="Cambria"/>
          <w:b/>
          <w:bCs/>
          <w:color w:val="262626"/>
          <w:sz w:val="20"/>
          <w:szCs w:val="20"/>
        </w:rPr>
        <w:t>РАЗРЕШЕНИЕ СПОРОВ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Споры, которые могут возникнуть при исполнении условий настоящего Договора, Стороны будут стремиться разрешать путем переговоров в течение 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20 (Двадцати)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 xml:space="preserve"> рабочих дней.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Споры Сторон, не урегулированные путем переговоров, разрешаются в судебном порядке.</w:t>
      </w:r>
    </w:p>
    <w:p w:rsidR="0000360F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>
        <w:rPr>
          <w:rFonts w:ascii="Cambria" w:hAnsi="Cambria" w:cs="Cambria"/>
          <w:b/>
          <w:bCs/>
          <w:color w:val="262626"/>
          <w:sz w:val="20"/>
          <w:szCs w:val="20"/>
        </w:rPr>
        <w:t>ФОРС-МАЖОР</w:t>
      </w:r>
    </w:p>
    <w:p w:rsidR="0000360F" w:rsidRDefault="0000360F" w:rsidP="006B494C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Pr="006B494C" w:rsidRDefault="0000360F" w:rsidP="006B494C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Сторона, которая не может выполнить обязательства по Договору, должна своевременно, но не позднее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 5 (пяти) </w:t>
      </w: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</w:t>
      </w:r>
      <w:r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Pr="00A96D48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 w:rsidRPr="00A96D48">
        <w:rPr>
          <w:rFonts w:ascii="Cambria" w:hAnsi="Cambria" w:cs="Cambria"/>
          <w:b/>
          <w:bCs/>
          <w:color w:val="262626"/>
          <w:sz w:val="20"/>
          <w:szCs w:val="20"/>
        </w:rPr>
        <w:t>ПРОЧИЕ УСЛОВИЯ</w:t>
      </w:r>
    </w:p>
    <w:p w:rsidR="0000360F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</w:t>
      </w: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Pr="006B494C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Вся переписка по предмету Договора, предшествующая его заключению, теряет юридическую силу со дня заключения Договора</w:t>
      </w:r>
      <w:r w:rsidRPr="006B494C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.</w:t>
      </w:r>
    </w:p>
    <w:p w:rsidR="0000360F" w:rsidRPr="006B494C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5A6506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Любые изменения и дополнения к настоящему Договору должны быть оформлены в письменном виде и подписаны обеими Сторонами.</w:t>
      </w:r>
    </w:p>
    <w:p w:rsidR="0000360F" w:rsidRPr="00A96D48" w:rsidRDefault="0000360F" w:rsidP="00A96D48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Сторон.</w:t>
      </w:r>
    </w:p>
    <w:p w:rsidR="0000360F" w:rsidRPr="00D31152" w:rsidRDefault="0000360F" w:rsidP="00D31152">
      <w:pPr>
        <w:pStyle w:val="NormalWeb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A96D48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00360F" w:rsidRPr="00A96D48" w:rsidRDefault="0000360F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="Cambria" w:hAnsi="Cambria" w:cs="Cambria"/>
          <w:b/>
          <w:bCs/>
          <w:color w:val="262626"/>
          <w:sz w:val="20"/>
          <w:szCs w:val="20"/>
        </w:rPr>
      </w:pPr>
      <w:r w:rsidRPr="00A96D48">
        <w:rPr>
          <w:rFonts w:ascii="Cambria" w:hAnsi="Cambria" w:cs="Cambria"/>
          <w:b/>
          <w:bCs/>
          <w:color w:val="262626"/>
          <w:sz w:val="20"/>
          <w:szCs w:val="20"/>
        </w:rPr>
        <w:t>РЕКВИЗИТЫ И ПОДПИСИ СТОРОН</w:t>
      </w:r>
    </w:p>
    <w:tbl>
      <w:tblPr>
        <w:tblW w:w="9856" w:type="dxa"/>
        <w:tblInd w:w="-106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361"/>
        <w:gridCol w:w="567"/>
        <w:gridCol w:w="4361"/>
        <w:gridCol w:w="567"/>
      </w:tblGrid>
      <w:tr w:rsidR="0000360F" w:rsidRPr="000252FE">
        <w:tc>
          <w:tcPr>
            <w:tcW w:w="4361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</w:pPr>
            <w:r w:rsidRPr="000252FE"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>Хранитель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</w:pPr>
            <w:r w:rsidRPr="000252FE"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>Поклажедатель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00360F" w:rsidRPr="000252FE">
        <w:tc>
          <w:tcPr>
            <w:tcW w:w="4361" w:type="dxa"/>
            <w:tcBorders>
              <w:top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</w:tr>
      <w:tr w:rsidR="0000360F" w:rsidRPr="000252FE"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</w:tr>
      <w:tr w:rsidR="0000360F" w:rsidRPr="000252FE"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</w:tr>
      <w:tr w:rsidR="0000360F" w:rsidRPr="000252FE"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  <w:tc>
          <w:tcPr>
            <w:tcW w:w="4361" w:type="dxa"/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before="60" w:after="60"/>
              <w:jc w:val="both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</w:tr>
      <w:tr w:rsidR="0000360F" w:rsidRPr="000252FE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</w:pPr>
          </w:p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</w:pPr>
          </w:p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</w:pPr>
            <w:r w:rsidRPr="000252FE"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0360F" w:rsidRPr="000252FE" w:rsidRDefault="0000360F" w:rsidP="000252FE">
            <w:pPr>
              <w:spacing w:after="120"/>
              <w:rPr>
                <w:rFonts w:ascii="Cambria" w:hAnsi="Cambria" w:cs="Cambria"/>
                <w:color w:val="262626"/>
                <w:sz w:val="18"/>
                <w:szCs w:val="18"/>
              </w:rPr>
            </w:pPr>
          </w:p>
        </w:tc>
      </w:tr>
    </w:tbl>
    <w:p w:rsidR="0000360F" w:rsidRPr="009F3419" w:rsidRDefault="0000360F" w:rsidP="00A2319F">
      <w:pPr>
        <w:pStyle w:val="a"/>
        <w:spacing w:before="0" w:after="120" w:line="276" w:lineRule="auto"/>
        <w:jc w:val="center"/>
        <w:rPr>
          <w:rFonts w:ascii="Cambria" w:hAnsi="Cambria" w:cs="Cambria"/>
          <w:sz w:val="20"/>
          <w:szCs w:val="20"/>
        </w:rPr>
      </w:pPr>
      <w:r w:rsidRPr="009F3419">
        <w:rPr>
          <w:rFonts w:ascii="Cambria" w:hAnsi="Cambria" w:cs="Cambria"/>
          <w:sz w:val="20"/>
          <w:szCs w:val="20"/>
        </w:rPr>
        <w:br w:type="page"/>
      </w:r>
    </w:p>
    <w:p w:rsidR="0000360F" w:rsidRPr="00232DD7" w:rsidRDefault="0000360F" w:rsidP="00B343D0">
      <w:pPr>
        <w:pStyle w:val="a"/>
        <w:spacing w:before="0" w:line="312" w:lineRule="auto"/>
        <w:ind w:left="5245"/>
        <w:rPr>
          <w:rFonts w:ascii="Cambria" w:hAnsi="Cambria" w:cs="Cambria"/>
          <w:color w:val="262626"/>
          <w:sz w:val="20"/>
          <w:szCs w:val="20"/>
          <w:lang w:val="ru-RU"/>
        </w:rPr>
      </w:pP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Приложение</w:t>
      </w:r>
      <w:r w:rsidRPr="00232DD7">
        <w:rPr>
          <w:rFonts w:ascii="Cambria" w:hAnsi="Cambria" w:cs="Cambria"/>
          <w:color w:val="262626"/>
          <w:sz w:val="20"/>
          <w:szCs w:val="20"/>
        </w:rPr>
        <w:t> 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№</w:t>
      </w:r>
      <w:r>
        <w:rPr>
          <w:rFonts w:ascii="Cambria" w:hAnsi="Cambria" w:cs="Cambria"/>
          <w:color w:val="262626"/>
          <w:sz w:val="20"/>
          <w:szCs w:val="20"/>
          <w:lang w:val="ru-RU"/>
        </w:rPr>
        <w:t>1</w:t>
      </w:r>
    </w:p>
    <w:p w:rsidR="0000360F" w:rsidRPr="00232DD7" w:rsidRDefault="0000360F" w:rsidP="00B343D0">
      <w:pPr>
        <w:pStyle w:val="a"/>
        <w:spacing w:before="0" w:line="312" w:lineRule="auto"/>
        <w:ind w:left="5245"/>
        <w:rPr>
          <w:rFonts w:ascii="Cambria" w:hAnsi="Cambria" w:cs="Cambria"/>
          <w:color w:val="262626"/>
          <w:sz w:val="20"/>
          <w:szCs w:val="20"/>
          <w:lang w:val="ru-RU"/>
        </w:rPr>
      </w:pP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к</w:t>
      </w:r>
      <w:r w:rsidRPr="00232DD7">
        <w:rPr>
          <w:rFonts w:ascii="Cambria" w:hAnsi="Cambria" w:cs="Cambria"/>
          <w:color w:val="262626"/>
          <w:sz w:val="20"/>
          <w:szCs w:val="20"/>
        </w:rPr>
        <w:t> 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 xml:space="preserve">договору </w:t>
      </w:r>
      <w:r>
        <w:rPr>
          <w:rFonts w:ascii="Cambria" w:hAnsi="Cambria" w:cs="Cambria"/>
          <w:color w:val="262626"/>
          <w:sz w:val="20"/>
          <w:szCs w:val="20"/>
          <w:lang w:val="ru-RU"/>
        </w:rPr>
        <w:t>ответственного хранения</w:t>
      </w:r>
    </w:p>
    <w:p w:rsidR="0000360F" w:rsidRPr="00232DD7" w:rsidRDefault="0000360F" w:rsidP="00B343D0">
      <w:pPr>
        <w:pStyle w:val="a"/>
        <w:spacing w:before="0" w:line="312" w:lineRule="auto"/>
        <w:ind w:left="5245"/>
        <w:rPr>
          <w:rFonts w:ascii="Cambria" w:hAnsi="Cambria" w:cs="Cambria"/>
          <w:color w:val="262626"/>
          <w:sz w:val="20"/>
          <w:szCs w:val="20"/>
          <w:lang w:val="ru-RU"/>
        </w:rPr>
      </w:pP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№____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instrText xml:space="preserve"> </w:instrText>
      </w:r>
      <w:r w:rsidRPr="00232DD7">
        <w:rPr>
          <w:rFonts w:ascii="Cambria" w:hAnsi="Cambria" w:cs="Cambria"/>
          <w:color w:val="262626"/>
          <w:sz w:val="20"/>
          <w:szCs w:val="20"/>
        </w:rPr>
        <w:instrText>FORMTEXT</w:instrTex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instrText xml:space="preserve"> </w:instrTex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fldChar w:fldCharType="end"/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 xml:space="preserve"> от</w:t>
      </w:r>
      <w:r w:rsidRPr="00232DD7">
        <w:rPr>
          <w:rFonts w:ascii="Cambria" w:hAnsi="Cambria" w:cs="Cambria"/>
          <w:color w:val="262626"/>
          <w:sz w:val="20"/>
          <w:szCs w:val="20"/>
        </w:rPr>
        <w:t> </w:t>
      </w:r>
      <w:r>
        <w:rPr>
          <w:rFonts w:ascii="Cambria" w:hAnsi="Cambria" w:cs="Cambria"/>
          <w:color w:val="262626"/>
          <w:sz w:val="20"/>
          <w:szCs w:val="20"/>
          <w:lang w:val="ru-RU"/>
        </w:rPr>
        <w:t>«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__</w:t>
      </w:r>
      <w:r>
        <w:rPr>
          <w:rFonts w:ascii="Cambria" w:hAnsi="Cambria" w:cs="Cambria"/>
          <w:color w:val="262626"/>
          <w:sz w:val="20"/>
          <w:szCs w:val="20"/>
          <w:lang w:val="ru-RU"/>
        </w:rPr>
        <w:t>»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 xml:space="preserve"> _</w:t>
      </w:r>
      <w:r>
        <w:rPr>
          <w:rFonts w:ascii="Cambria" w:hAnsi="Cambria" w:cs="Cambria"/>
          <w:color w:val="262626"/>
          <w:sz w:val="20"/>
          <w:szCs w:val="20"/>
          <w:lang w:val="ru-RU"/>
        </w:rPr>
        <w:t>_____________</w:t>
      </w:r>
      <w:r w:rsidRPr="00232DD7">
        <w:rPr>
          <w:rFonts w:ascii="Cambria" w:hAnsi="Cambria" w:cs="Cambria"/>
          <w:color w:val="262626"/>
          <w:sz w:val="20"/>
          <w:szCs w:val="20"/>
          <w:lang w:val="ru-RU"/>
        </w:rPr>
        <w:t>____ ____г.</w:t>
      </w:r>
    </w:p>
    <w:p w:rsidR="0000360F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Verdana"/>
          <w:color w:val="404040"/>
          <w:sz w:val="18"/>
          <w:szCs w:val="18"/>
        </w:rPr>
      </w:pPr>
    </w:p>
    <w:p w:rsidR="0000360F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Verdana"/>
          <w:color w:val="404040"/>
          <w:sz w:val="18"/>
          <w:szCs w:val="18"/>
        </w:rPr>
      </w:pPr>
    </w:p>
    <w:p w:rsidR="0000360F" w:rsidRPr="00081C43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</w:rPr>
      </w:pPr>
      <w:r w:rsidRPr="00081C43">
        <w:rPr>
          <w:rFonts w:ascii="Cambria" w:hAnsi="Cambria" w:cs="Cambria"/>
          <w:b/>
          <w:bCs/>
          <w:color w:val="000000"/>
          <w:sz w:val="22"/>
          <w:szCs w:val="22"/>
        </w:rPr>
        <w:t>Перечень передаваемого имущества на ответственное хранение</w:t>
      </w:r>
    </w:p>
    <w:p w:rsidR="0000360F" w:rsidRPr="00081C43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</w:rPr>
      </w:pPr>
      <w:bookmarkStart w:id="1" w:name="linkContainere1"/>
      <w:bookmarkEnd w:id="1"/>
      <w:r w:rsidRPr="00081C43"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</w:rPr>
        <w:t>к </w:t>
      </w:r>
      <w:r w:rsidRPr="00081C43">
        <w:rPr>
          <w:rFonts w:ascii="Cambria" w:hAnsi="Cambria" w:cs="Cambria"/>
          <w:b/>
          <w:bCs/>
          <w:color w:val="000000"/>
          <w:sz w:val="22"/>
          <w:szCs w:val="22"/>
        </w:rPr>
        <w:t xml:space="preserve">Договору ответственного хранения </w:t>
      </w:r>
      <w:r w:rsidRPr="00081C43"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</w:rPr>
        <w:t>№ __ от «__» _________ ____г.</w:t>
      </w:r>
    </w:p>
    <w:p w:rsidR="0000360F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Cambria"/>
          <w:b/>
          <w:bCs/>
          <w:color w:val="76923C"/>
          <w:sz w:val="22"/>
          <w:szCs w:val="22"/>
          <w:bdr w:val="none" w:sz="0" w:space="0" w:color="auto" w:frame="1"/>
        </w:rPr>
      </w:pPr>
    </w:p>
    <w:p w:rsidR="0000360F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Cambria"/>
          <w:b/>
          <w:bCs/>
          <w:color w:val="76923C"/>
          <w:sz w:val="22"/>
          <w:szCs w:val="22"/>
          <w:bdr w:val="none" w:sz="0" w:space="0" w:color="auto" w:frame="1"/>
        </w:rPr>
      </w:pPr>
    </w:p>
    <w:p w:rsidR="0000360F" w:rsidRPr="00B343D0" w:rsidRDefault="0000360F" w:rsidP="00B343D0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Cambria"/>
          <w:b/>
          <w:bCs/>
          <w:color w:val="76923C"/>
          <w:sz w:val="22"/>
          <w:szCs w:val="22"/>
          <w:bdr w:val="none" w:sz="0" w:space="0" w:color="auto" w:frame="1"/>
        </w:rPr>
      </w:pPr>
    </w:p>
    <w:p w:rsidR="0000360F" w:rsidRDefault="0000360F" w:rsidP="00B343D0">
      <w:pPr>
        <w:pStyle w:val="Heading3"/>
        <w:spacing w:before="0" w:after="0" w:line="390" w:lineRule="atLeast"/>
        <w:textAlignment w:val="baseline"/>
        <w:rPr>
          <w:b w:val="0"/>
          <w:bCs w:val="0"/>
          <w:color w:val="262626"/>
          <w:sz w:val="20"/>
          <w:szCs w:val="20"/>
          <w:bdr w:val="none" w:sz="0" w:space="0" w:color="auto" w:frame="1"/>
          <w:lang w:eastAsia="ru-RU"/>
        </w:rPr>
      </w:pPr>
      <w:r w:rsidRPr="00B343D0">
        <w:rPr>
          <w:b w:val="0"/>
          <w:bCs w:val="0"/>
          <w:color w:val="262626"/>
          <w:sz w:val="20"/>
          <w:szCs w:val="20"/>
          <w:bdr w:val="none" w:sz="0" w:space="0" w:color="auto" w:frame="1"/>
          <w:lang w:eastAsia="ru-RU"/>
        </w:rPr>
        <w:t xml:space="preserve">Перечень передаваемого </w:t>
      </w:r>
      <w:r>
        <w:rPr>
          <w:b w:val="0"/>
          <w:bCs w:val="0"/>
          <w:color w:val="262626"/>
          <w:sz w:val="20"/>
          <w:szCs w:val="20"/>
          <w:bdr w:val="none" w:sz="0" w:space="0" w:color="auto" w:frame="1"/>
          <w:lang w:eastAsia="ru-RU"/>
        </w:rPr>
        <w:t>на ответственное хранение имущества Поклажедателем:</w:t>
      </w:r>
    </w:p>
    <w:p w:rsidR="0000360F" w:rsidRPr="00B343D0" w:rsidRDefault="0000360F" w:rsidP="00B343D0">
      <w:pPr>
        <w:spacing w:after="0"/>
        <w:rPr>
          <w:lang w:eastAsia="ru-RU"/>
        </w:rPr>
      </w:pPr>
    </w:p>
    <w:tbl>
      <w:tblPr>
        <w:tblW w:w="942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92"/>
        <w:gridCol w:w="2831"/>
        <w:gridCol w:w="1418"/>
        <w:gridCol w:w="1119"/>
        <w:gridCol w:w="2015"/>
        <w:gridCol w:w="1454"/>
      </w:tblGrid>
      <w:tr w:rsidR="0000360F" w:rsidRPr="000252F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bookmarkStart w:id="2" w:name="linkContainerDA3DBE2D"/>
            <w:bookmarkEnd w:id="2"/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Наименование и основные характеристики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00360F" w:rsidRPr="000252FE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00360F" w:rsidRPr="000252FE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00360F" w:rsidRPr="000252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00360F" w:rsidRPr="0002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343D0"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0360F" w:rsidRPr="00B343D0" w:rsidRDefault="0000360F" w:rsidP="00B343D0">
            <w:pPr>
              <w:spacing w:after="0"/>
              <w:rPr>
                <w:rFonts w:ascii="Cambria" w:hAnsi="Cambria" w:cs="Cambria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00360F" w:rsidRDefault="0000360F" w:rsidP="00B343D0">
      <w:pPr>
        <w:pStyle w:val="NormalWeb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r w:rsidRPr="003E060E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Всего по Договору ответственного хранения передается Хранителю Имущество общей стоимостью _____________________ (________________________________) руб.</w:t>
      </w:r>
    </w:p>
    <w:p w:rsidR="0000360F" w:rsidRPr="00B343D0" w:rsidRDefault="0000360F" w:rsidP="00B343D0">
      <w:pPr>
        <w:pStyle w:val="NormalWeb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</w:p>
    <w:p w:rsidR="0000360F" w:rsidRPr="00B343D0" w:rsidRDefault="0000360F" w:rsidP="00B343D0">
      <w:pPr>
        <w:pStyle w:val="NormalWeb"/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</w:pPr>
      <w:bookmarkStart w:id="3" w:name="linkContainereF88BB4AA"/>
      <w:bookmarkEnd w:id="3"/>
      <w:r w:rsidRPr="00B343D0">
        <w:rPr>
          <w:rFonts w:ascii="Cambria" w:hAnsi="Cambria" w:cs="Cambria"/>
          <w:color w:val="262626"/>
          <w:sz w:val="20"/>
          <w:szCs w:val="20"/>
          <w:bdr w:val="none" w:sz="0" w:space="0" w:color="auto" w:frame="1"/>
        </w:rPr>
        <w:t>Подписи сторон:</w:t>
      </w:r>
    </w:p>
    <w:tbl>
      <w:tblPr>
        <w:tblW w:w="1105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527"/>
        <w:gridCol w:w="5528"/>
      </w:tblGrid>
      <w:tr w:rsidR="0000360F" w:rsidRPr="000252F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360F" w:rsidRPr="00B343D0" w:rsidRDefault="0000360F" w:rsidP="00B343D0">
            <w:pPr>
              <w:pStyle w:val="NormalWeb"/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</w:pPr>
            <w:bookmarkStart w:id="4" w:name="linkContainere12E95C99"/>
            <w:bookmarkEnd w:id="4"/>
            <w:r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  <w:t>Хранитель:</w:t>
            </w:r>
          </w:p>
          <w:p w:rsidR="0000360F" w:rsidRPr="00B343D0" w:rsidRDefault="0000360F" w:rsidP="00B343D0">
            <w:pPr>
              <w:pStyle w:val="NormalWeb"/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</w:pPr>
            <w:r w:rsidRPr="00FF70AB"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360F" w:rsidRDefault="0000360F" w:rsidP="00B343D0">
            <w:pPr>
              <w:pStyle w:val="NormalWeb"/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</w:pPr>
            <w:r w:rsidRPr="00B343D0"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  <w:t>Поклажедатель:</w:t>
            </w:r>
          </w:p>
          <w:p w:rsidR="0000360F" w:rsidRPr="00B343D0" w:rsidRDefault="0000360F" w:rsidP="00B343D0">
            <w:pPr>
              <w:pStyle w:val="NormalWeb"/>
              <w:rPr>
                <w:rFonts w:ascii="Cambria" w:hAnsi="Cambria" w:cs="Cambria"/>
                <w:color w:val="262626"/>
                <w:sz w:val="20"/>
                <w:szCs w:val="20"/>
                <w:bdr w:val="none" w:sz="0" w:space="0" w:color="auto" w:frame="1"/>
              </w:rPr>
            </w:pPr>
            <w:r w:rsidRPr="00FF70AB">
              <w:rPr>
                <w:rFonts w:ascii="Cambria" w:hAnsi="Cambria" w:cs="Cambria"/>
                <w:color w:val="262626"/>
                <w:sz w:val="18"/>
                <w:szCs w:val="18"/>
                <w:u w:val="single"/>
              </w:rPr>
              <w:t xml:space="preserve">                                     /                                   /</w:t>
            </w:r>
          </w:p>
        </w:tc>
      </w:tr>
    </w:tbl>
    <w:p w:rsidR="0000360F" w:rsidRDefault="0000360F" w:rsidP="00A2319F">
      <w:pPr>
        <w:pStyle w:val="a"/>
        <w:spacing w:before="0" w:after="120" w:line="276" w:lineRule="auto"/>
        <w:jc w:val="center"/>
        <w:rPr>
          <w:rFonts w:ascii="Cambria" w:hAnsi="Cambria" w:cs="Cambria"/>
          <w:color w:val="262626"/>
          <w:sz w:val="20"/>
          <w:szCs w:val="20"/>
          <w:bdr w:val="none" w:sz="0" w:space="0" w:color="auto" w:frame="1"/>
          <w:lang w:val="ru-RU" w:eastAsia="ru-RU"/>
        </w:rPr>
      </w:pPr>
    </w:p>
    <w:p w:rsidR="0000360F" w:rsidRDefault="0000360F" w:rsidP="003E060E">
      <w:pPr>
        <w:rPr>
          <w:lang w:eastAsia="ru-RU"/>
        </w:rPr>
      </w:pPr>
    </w:p>
    <w:p w:rsidR="0000360F" w:rsidRPr="003E060E" w:rsidRDefault="0000360F" w:rsidP="003E060E">
      <w:pPr>
        <w:rPr>
          <w:lang w:eastAsia="ru-RU"/>
        </w:rPr>
      </w:pPr>
    </w:p>
    <w:sectPr w:rsidR="0000360F" w:rsidRPr="003E060E" w:rsidSect="00FF70AB">
      <w:headerReference w:type="default" r:id="rId10"/>
      <w:footerReference w:type="default" r:id="rId11"/>
      <w:pgSz w:w="11906" w:h="16838"/>
      <w:pgMar w:top="1134" w:right="850" w:bottom="993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0F" w:rsidRDefault="0000360F" w:rsidP="009B3D55">
      <w:pPr>
        <w:spacing w:after="0" w:line="240" w:lineRule="auto"/>
      </w:pPr>
      <w:r>
        <w:separator/>
      </w:r>
    </w:p>
  </w:endnote>
  <w:endnote w:type="continuationSeparator" w:id="0">
    <w:p w:rsidR="0000360F" w:rsidRDefault="0000360F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0F" w:rsidRPr="00706E03" w:rsidRDefault="0000360F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Хранитель</w:t>
    </w:r>
    <w:r w:rsidRPr="00706E03">
      <w:rPr>
        <w:rFonts w:ascii="Cambria" w:hAnsi="Cambria" w:cs="Cambria"/>
        <w:sz w:val="18"/>
        <w:szCs w:val="18"/>
      </w:rPr>
      <w:t xml:space="preserve"> ___________________</w:t>
    </w:r>
    <w:r w:rsidRPr="00706E03">
      <w:rPr>
        <w:rFonts w:ascii="Cambria" w:hAnsi="Cambria" w:cs="Cambria"/>
        <w:sz w:val="18"/>
        <w:szCs w:val="18"/>
      </w:rPr>
      <w:tab/>
      <w:t xml:space="preserve">                                                 </w:t>
    </w:r>
    <w:r>
      <w:rPr>
        <w:rFonts w:ascii="Cambria" w:hAnsi="Cambria" w:cs="Cambria"/>
        <w:sz w:val="18"/>
        <w:szCs w:val="18"/>
      </w:rPr>
      <w:t xml:space="preserve">                                                 Поклажедатель</w:t>
    </w:r>
    <w:r w:rsidRPr="00706E03">
      <w:rPr>
        <w:rFonts w:ascii="Cambria" w:hAnsi="Cambria" w:cs="Cambria"/>
        <w:sz w:val="18"/>
        <w:szCs w:val="18"/>
      </w:rPr>
      <w:t xml:space="preserve"> 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0F" w:rsidRDefault="0000360F" w:rsidP="009B3D55">
      <w:pPr>
        <w:spacing w:after="0" w:line="240" w:lineRule="auto"/>
      </w:pPr>
      <w:r>
        <w:separator/>
      </w:r>
    </w:p>
  </w:footnote>
  <w:footnote w:type="continuationSeparator" w:id="0">
    <w:p w:rsidR="0000360F" w:rsidRDefault="0000360F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0F" w:rsidRPr="00FE6603" w:rsidRDefault="0000360F" w:rsidP="00FE6603">
    <w:pPr>
      <w:jc w:val="right"/>
      <w:rPr>
        <w:rStyle w:val="Hyperlink"/>
      </w:rPr>
    </w:pPr>
    <w:r>
      <w:tab/>
    </w:r>
    <w:r>
      <w:tab/>
    </w:r>
    <w:r>
      <w:rPr>
        <w:color w:val="0D0D0D"/>
      </w:rPr>
      <w:t xml:space="preserve"> </w:t>
    </w:r>
    <w:hyperlink r:id="rId1" w:history="1">
      <w:r w:rsidRPr="00FE6603">
        <w:rPr>
          <w:rStyle w:val="Hyperlink"/>
        </w:rPr>
        <w:t>teplicy-polikarbonat.ru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8C4804"/>
    <w:multiLevelType w:val="multilevel"/>
    <w:tmpl w:val="FCB2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­"/>
      <w:lvlJc w:val="left"/>
      <w:pPr>
        <w:ind w:left="383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655F2F"/>
    <w:multiLevelType w:val="hybridMultilevel"/>
    <w:tmpl w:val="B2167E26"/>
    <w:lvl w:ilvl="0" w:tplc="35321F42">
      <w:start w:val="1"/>
      <w:numFmt w:val="bullet"/>
      <w:lvlText w:val="­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55"/>
    <w:rsid w:val="0000360F"/>
    <w:rsid w:val="00005BCC"/>
    <w:rsid w:val="000252FE"/>
    <w:rsid w:val="000254A5"/>
    <w:rsid w:val="00057245"/>
    <w:rsid w:val="00081C43"/>
    <w:rsid w:val="00085D91"/>
    <w:rsid w:val="000C434A"/>
    <w:rsid w:val="000E0758"/>
    <w:rsid w:val="000E087A"/>
    <w:rsid w:val="000E0D14"/>
    <w:rsid w:val="000E15A0"/>
    <w:rsid w:val="000E7F2D"/>
    <w:rsid w:val="000F5897"/>
    <w:rsid w:val="0010512A"/>
    <w:rsid w:val="00120EBF"/>
    <w:rsid w:val="00147228"/>
    <w:rsid w:val="00163813"/>
    <w:rsid w:val="001804CD"/>
    <w:rsid w:val="001A60D6"/>
    <w:rsid w:val="001A7CD9"/>
    <w:rsid w:val="001D3C19"/>
    <w:rsid w:val="00222050"/>
    <w:rsid w:val="00222A9C"/>
    <w:rsid w:val="00232DD7"/>
    <w:rsid w:val="00293852"/>
    <w:rsid w:val="00294142"/>
    <w:rsid w:val="002C5A38"/>
    <w:rsid w:val="002D0723"/>
    <w:rsid w:val="002F1229"/>
    <w:rsid w:val="00300E0E"/>
    <w:rsid w:val="0031409E"/>
    <w:rsid w:val="00337C91"/>
    <w:rsid w:val="00354EFA"/>
    <w:rsid w:val="00365991"/>
    <w:rsid w:val="003B3927"/>
    <w:rsid w:val="003C3586"/>
    <w:rsid w:val="003D2B04"/>
    <w:rsid w:val="003E060E"/>
    <w:rsid w:val="00450D08"/>
    <w:rsid w:val="0045389F"/>
    <w:rsid w:val="00454D56"/>
    <w:rsid w:val="00493847"/>
    <w:rsid w:val="00496F9F"/>
    <w:rsid w:val="004A79C9"/>
    <w:rsid w:val="004C0E85"/>
    <w:rsid w:val="004C7D74"/>
    <w:rsid w:val="004E2674"/>
    <w:rsid w:val="00573F4D"/>
    <w:rsid w:val="005815C1"/>
    <w:rsid w:val="005A0768"/>
    <w:rsid w:val="005A395B"/>
    <w:rsid w:val="005A6506"/>
    <w:rsid w:val="00614FFE"/>
    <w:rsid w:val="00651796"/>
    <w:rsid w:val="006532AE"/>
    <w:rsid w:val="00690601"/>
    <w:rsid w:val="006A6CF7"/>
    <w:rsid w:val="006B494C"/>
    <w:rsid w:val="006D32BB"/>
    <w:rsid w:val="006F7EFB"/>
    <w:rsid w:val="00706E03"/>
    <w:rsid w:val="007144C8"/>
    <w:rsid w:val="00753123"/>
    <w:rsid w:val="00757633"/>
    <w:rsid w:val="0076436A"/>
    <w:rsid w:val="0076592D"/>
    <w:rsid w:val="007A18B6"/>
    <w:rsid w:val="00835903"/>
    <w:rsid w:val="0088605A"/>
    <w:rsid w:val="00886C21"/>
    <w:rsid w:val="00890481"/>
    <w:rsid w:val="008A3937"/>
    <w:rsid w:val="008C5494"/>
    <w:rsid w:val="008C6019"/>
    <w:rsid w:val="008D10D2"/>
    <w:rsid w:val="008F5F20"/>
    <w:rsid w:val="009271CB"/>
    <w:rsid w:val="00931D8A"/>
    <w:rsid w:val="00944367"/>
    <w:rsid w:val="009B3D55"/>
    <w:rsid w:val="009D2EF9"/>
    <w:rsid w:val="009F3419"/>
    <w:rsid w:val="00A11DB3"/>
    <w:rsid w:val="00A2319F"/>
    <w:rsid w:val="00A320ED"/>
    <w:rsid w:val="00A52494"/>
    <w:rsid w:val="00A8648F"/>
    <w:rsid w:val="00A95D94"/>
    <w:rsid w:val="00A96D48"/>
    <w:rsid w:val="00AA796C"/>
    <w:rsid w:val="00AB16C8"/>
    <w:rsid w:val="00AC4B25"/>
    <w:rsid w:val="00AC778D"/>
    <w:rsid w:val="00AD5F26"/>
    <w:rsid w:val="00AE2F21"/>
    <w:rsid w:val="00AE7787"/>
    <w:rsid w:val="00B12BFC"/>
    <w:rsid w:val="00B17998"/>
    <w:rsid w:val="00B343D0"/>
    <w:rsid w:val="00B63B3A"/>
    <w:rsid w:val="00B7430C"/>
    <w:rsid w:val="00BA47C4"/>
    <w:rsid w:val="00BA4DA0"/>
    <w:rsid w:val="00BC5391"/>
    <w:rsid w:val="00BE7208"/>
    <w:rsid w:val="00C47739"/>
    <w:rsid w:val="00C77D61"/>
    <w:rsid w:val="00CA1AB3"/>
    <w:rsid w:val="00CA2A8F"/>
    <w:rsid w:val="00CC1925"/>
    <w:rsid w:val="00CC3E4F"/>
    <w:rsid w:val="00CD24D0"/>
    <w:rsid w:val="00CF537D"/>
    <w:rsid w:val="00D107ED"/>
    <w:rsid w:val="00D31152"/>
    <w:rsid w:val="00D6280D"/>
    <w:rsid w:val="00D7072C"/>
    <w:rsid w:val="00D72B3F"/>
    <w:rsid w:val="00D92D67"/>
    <w:rsid w:val="00DB3411"/>
    <w:rsid w:val="00DE6E6E"/>
    <w:rsid w:val="00DF2F9B"/>
    <w:rsid w:val="00E01978"/>
    <w:rsid w:val="00E32AB2"/>
    <w:rsid w:val="00E5335E"/>
    <w:rsid w:val="00EB7F4B"/>
    <w:rsid w:val="00ED5B49"/>
    <w:rsid w:val="00EE4013"/>
    <w:rsid w:val="00EF303D"/>
    <w:rsid w:val="00F20146"/>
    <w:rsid w:val="00F45372"/>
    <w:rsid w:val="00F57815"/>
    <w:rsid w:val="00F6304E"/>
    <w:rsid w:val="00F64844"/>
    <w:rsid w:val="00F97B42"/>
    <w:rsid w:val="00FC0B74"/>
    <w:rsid w:val="00FE4231"/>
    <w:rsid w:val="00FE6603"/>
    <w:rsid w:val="00FF272D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65F91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852"/>
    <w:rPr>
      <w:rFonts w:ascii="Arial" w:hAnsi="Arial" w:cs="Arial"/>
      <w:b/>
      <w:bCs/>
      <w:color w:val="365F91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D55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D55"/>
  </w:style>
  <w:style w:type="paragraph" w:styleId="Footer">
    <w:name w:val="footer"/>
    <w:basedOn w:val="Normal"/>
    <w:link w:val="Foot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D55"/>
  </w:style>
  <w:style w:type="character" w:styleId="Hyperlink">
    <w:name w:val="Hyperlink"/>
    <w:basedOn w:val="DefaultParagraphFont"/>
    <w:uiPriority w:val="99"/>
    <w:rsid w:val="009B3D55"/>
    <w:rPr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D55"/>
    <w:rPr>
      <w:rFonts w:ascii="Times New Roman" w:hAnsi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9B3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3D55"/>
  </w:style>
  <w:style w:type="paragraph" w:styleId="HTMLPreformatted">
    <w:name w:val="HTML Preformatted"/>
    <w:basedOn w:val="Normal"/>
    <w:link w:val="HTMLPreformattedChar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3D55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54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4EFA"/>
  </w:style>
  <w:style w:type="table" w:styleId="TableGrid">
    <w:name w:val="Table Grid"/>
    <w:basedOn w:val="TableNormal"/>
    <w:uiPriority w:val="99"/>
    <w:rsid w:val="00C77D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04CD"/>
    <w:pPr>
      <w:ind w:left="720"/>
    </w:pPr>
  </w:style>
  <w:style w:type="character" w:customStyle="1" w:styleId="paragraph">
    <w:name w:val="paragraph Знак"/>
    <w:basedOn w:val="DefaultParagraphFont"/>
    <w:link w:val="a"/>
    <w:uiPriority w:val="99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">
    <w:name w:val="Параграф"/>
    <w:basedOn w:val="Normal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Strong">
    <w:name w:val="Strong"/>
    <w:basedOn w:val="DefaultParagraphFont"/>
    <w:uiPriority w:val="99"/>
    <w:qFormat/>
    <w:rsid w:val="00450D0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50D08"/>
  </w:style>
  <w:style w:type="character" w:customStyle="1" w:styleId="autonum">
    <w:name w:val="autonum"/>
    <w:basedOn w:val="DefaultParagraphFont"/>
    <w:uiPriority w:val="99"/>
    <w:rsid w:val="00222A9C"/>
  </w:style>
  <w:style w:type="character" w:customStyle="1" w:styleId="databind">
    <w:name w:val="databind"/>
    <w:basedOn w:val="DefaultParagraphFont"/>
    <w:uiPriority w:val="99"/>
    <w:rsid w:val="00222A9C"/>
  </w:style>
  <w:style w:type="paragraph" w:styleId="BalloonText">
    <w:name w:val="Balloon Text"/>
    <w:basedOn w:val="Normal"/>
    <w:link w:val="BalloonTextChar"/>
    <w:uiPriority w:val="99"/>
    <w:semiHidden/>
    <w:rsid w:val="00B3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51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51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akt-priema-peredachi-materialnyh-cennost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contract.ru/dogovor-arendy-oborudova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lcontract.ru/akt-vozvrat&#1072;-materialnyh-cennostej-peredannyh-na-hranen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plicy-polikarbon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4</Pages>
  <Words>1310</Words>
  <Characters>7468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trener3</cp:lastModifiedBy>
  <cp:revision>36</cp:revision>
  <cp:lastPrinted>2013-12-06T16:26:00Z</cp:lastPrinted>
  <dcterms:created xsi:type="dcterms:W3CDTF">2013-11-17T16:57:00Z</dcterms:created>
  <dcterms:modified xsi:type="dcterms:W3CDTF">2015-09-05T08:53:00Z</dcterms:modified>
</cp:coreProperties>
</file>